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ViReport v0.0.1 — 2020-03-21</w:t>
      </w:r>
    </w:p>
    <w:p>
      <w:pPr>
        <w:pStyle w:val="Heading1"/>
      </w:pPr>
      <w:r>
        <w:t>Input Dataset</w:t>
      </w:r>
    </w:p>
    <w:p>
      <w:r>
        <w:t>The analysis was conducted on a dataset containing 999 sequences.</w:t>
      </w:r>
      <w:r>
        <w:t xml:space="preserve"> The average sequence length was 29814.223,</w:t>
      </w:r>
      <w:r>
        <w:t xml:space="preserve"> with a standard deviation of 239.124.</w:t>
      </w:r>
      <w:r>
        <w:t xml:space="preserve"> The earliest sample date was 2019-12-24,</w:t>
      </w:r>
      <w:r>
        <w:t xml:space="preserve"> the median sample date was 2020-02-28,</w:t>
      </w:r>
      <w:r>
        <w:t xml:space="preserve"> and the most recent sample date was 2020-03-17.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equence_length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ample_dat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sample dates</w:t>
      </w:r>
    </w:p>
    <w:p/>
    <w:p>
      <w:pPr>
        <w:pStyle w:val="Heading1"/>
      </w:pPr>
      <w:r>
        <w:t>Preprocessed Dataset</w:t>
      </w:r>
    </w:p>
    <w:p>
      <w:r>
        <w:t>The input dataset was preprocessed such that sequences were given safe names: non-letters/digits in sequence IDs were converted to underscores.</w:t>
      </w:r>
      <w:r>
        <w:t xml:space="preserve"> After preprocessing, the dataset contained 999 sequences.</w:t>
      </w:r>
      <w:r>
        <w:t xml:space="preserve"> The average sequence length was 29814.223,</w:t>
      </w:r>
      <w:r>
        <w:t xml:space="preserve"> with a standard deviation of 239.124.</w:t>
      </w:r>
      <w:r>
        <w:t xml:space="preserve"> The earliest sample date was 2019-12-24,</w:t>
      </w:r>
      <w:r>
        <w:t xml:space="preserve"> the median sample date was 2020-02-28,</w:t>
      </w:r>
      <w:r>
        <w:t xml:space="preserve"> and the most recent sample date was 2020-03-17.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equence_length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ample_da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sample dates</w:t>
      </w:r>
    </w:p>
    <w:p/>
    <w:p>
      <w:pPr>
        <w:pStyle w:val="Heading1"/>
      </w:pPr>
      <w:r>
        <w:t>Multiple Sequence Alignment</w:t>
      </w:r>
    </w:p>
    <w:p>
      <w:r>
        <w:t>Multiple sequence alignment was performed using MAFFT (Katoh &amp; Standley, 2013) in automatic mode.</w:t>
      </w:r>
      <w:r>
        <w:t xml:space="preserve"> There were 30151 positions (1976 invariant) and 889 unique sequences in the multiple sequence alignment. </w:t>
      </w:r>
      <w:r>
        <w:t>Pairwise distances were computed from the multiple sequence alignment using the tn93 tool of HIV-TRACE (Pond et al., 2018).</w:t>
      </w:r>
      <w:r>
        <w:t xml:space="preserve"> The average pairwise sequence distance was 0.000309,</w:t>
      </w:r>
      <w:r>
        <w:t xml:space="preserve"> with a standard deviation of 0.000195.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sequen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sequence distances</w:t>
      </w:r>
    </w:p>
    <w:p>
      <w:r>
        <w:t xml:space="preserve"> Across the positions of the multiple sequence alignment that had non-zero Shannon entropy,</w:t>
      </w:r>
      <w:r>
        <w:t xml:space="preserve"> the minimum Shannon entropy was 0.0116,</w:t>
      </w:r>
      <w:r>
        <w:t xml:space="preserve"> the maximum Shannon entropy was 2.122,</w:t>
      </w:r>
      <w:r>
        <w:t xml:space="preserve"> and the average Shannon entropy was 0.0894,</w:t>
      </w:r>
      <w:r>
        <w:t xml:space="preserve"> with a standard deviation of 0.117.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ignment_entropie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Shannon entropy across the positions of the multiple sequence alignment. A significance threshold was computed using Tukey's Rule: 1.5x the interquartile range added to the third quartile, which was 0.206. The significance threshold is shown as a red dashed line, and significant points are shown in red.</w:t>
      </w:r>
    </w:p>
    <w:p/>
    <w:p>
      <w:pPr>
        <w:pStyle w:val="Heading1"/>
      </w:pPr>
      <w:r>
        <w:t>Phylogenetic Inference</w:t>
      </w:r>
    </w:p>
    <w:p>
      <w:r>
        <w:t>A maximum-likelihood phylogeny was inferred under the General Time-Reversible (GTR) model (Tavare, 1986) using FastTree 2 (Price et al., 2010) using a Gamma20-based likelihood.</w:t>
      </w:r>
      <w:r>
        <w:t xml:space="preserve"> </w:t>
      </w:r>
      <w:r>
        <w:t>The inferred phylogeny was MinVar-rooted using FastRoot (Mai et al., 2017).</w:t>
      </w:r>
      <w:r>
        <w:t xml:space="preserve"> </w:t>
      </w:r>
      <w:r>
        <w:t>Pairwise distances were computed from the phylogeny using TreeSwift (Moshiri, 2020).</w:t>
      </w:r>
      <w:r>
        <w:t xml:space="preserve"> The maximum pairwise phylogenetic distance (i.e., tree diameter) was 0.00588,</w:t>
      </w:r>
      <w:r>
        <w:t xml:space="preserve"> and the average pairwise phylogenetic distance was 0.00135,</w:t>
      </w:r>
      <w:r>
        <w:t xml:space="preserve"> with a standard deviation of 0.000788.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1441" cy="7772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mutation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441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Rooted phylogenetic tree in unit of expected per-site mutations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tre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phylogenetic distances</w:t>
      </w:r>
    </w:p>
    <w:p/>
    <w:p>
      <w:pPr>
        <w:pStyle w:val="Heading1"/>
      </w:pPr>
      <w:r>
        <w:t>Phylogenetic Dating</w:t>
      </w:r>
    </w:p>
    <w:p>
      <w:r>
        <w:t>The rooted phylogeny was dated using treedater (Volz &amp; Frost, 2017).</w:t>
      </w:r>
      <w:r>
        <w:t xml:space="preserve"> The height of the dated tree was 86.993 days,</w:t>
      </w:r>
      <w:r>
        <w:t xml:space="preserve"> so given that the most recent sample was collected on 2020-03-17,</w:t>
      </w:r>
      <w:r>
        <w:t xml:space="preserve"> the estimated time of the most recent common ancestor (tMRCA) was 2019-12-21.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91441" cy="7772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1441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Dated phylogenetic tree in unit of years</w:t>
      </w:r>
    </w:p>
    <w:p/>
    <w:p>
      <w:pPr>
        <w:pStyle w:val="Heading1"/>
      </w:pPr>
      <w:r>
        <w:t>Ancestral Sequence Reconstruction</w:t>
      </w:r>
    </w:p>
    <w:p>
      <w:r>
        <w:t>Ancestral sequence reconstruction was performed using TreeTime (Sagulenko et al., 2018).</w:t>
      </w:r>
    </w:p>
    <w:p>
      <w:pPr>
        <w:pStyle w:val="Heading1"/>
      </w:pPr>
      <w:r>
        <w:t>Transmission Clustering</w:t>
      </w:r>
    </w:p>
    <w:p>
      <w:r>
        <w:t>Transmission clustering was performed using TreeN93 (Moshiri, 2018) using pairwise phylogenetic distances.</w:t>
      </w:r>
      <w:r>
        <w:t xml:space="preserve"> The total number of singletons (i.e., non-clustered individuals) was 178,</w:t>
      </w:r>
      <w:r>
        <w:t xml:space="preserve"> and the total number of clusters (excluding singletons) was 58.</w:t>
      </w:r>
      <w:r>
        <w:t xml:space="preserve"> The average cluster size (excluding singletons) was 13.879,</w:t>
      </w:r>
      <w:r>
        <w:t xml:space="preserve"> with a standard deviation of 27.764,</w:t>
      </w:r>
      <w:r>
        <w:t xml:space="preserve"> and the maximum and minimum cluster sizes were 117 and 2, respectively.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_siz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cluster sizes (excluding singletons)</w:t>
      </w:r>
    </w:p>
    <w:p/>
    <w:p>
      <w:pPr>
        <w:pStyle w:val="Heading1"/>
      </w:pPr>
      <w:r>
        <w:t>Citations</w:t>
      </w:r>
    </w:p>
    <w:p/>
    <w:p>
      <w:pPr>
        <w:pStyle w:val="ListBullet"/>
        <w:numPr>
          <w:ilvl w:val="0"/>
          <w:numId w:val="10"/>
        </w:numPr>
      </w:pPr>
      <w:r>
        <w:t>Katoh K., Standley D.M. (2013). "MAFFT Multiple Sequence Alignment Software Version 7: Improvements in Performance and Usability". Molecular Biology and Evolution. 30(4), 772-780.</w:t>
      </w:r>
    </w:p>
    <w:p>
      <w:pPr>
        <w:pStyle w:val="ListBullet"/>
        <w:numPr>
          <w:ilvl w:val="0"/>
          <w:numId w:val="11"/>
        </w:numPr>
      </w:pPr>
      <w:r>
        <w:t>Le S.Q., Gascuel O. (2008). "An Improved General Amino Acid Replacement Matrix". Molecular Biology and Evolution. 25(7), 1307-1320.</w:t>
      </w:r>
    </w:p>
    <w:p>
      <w:pPr>
        <w:pStyle w:val="ListBullet"/>
        <w:numPr>
          <w:ilvl w:val="0"/>
          <w:numId w:val="12"/>
        </w:numPr>
      </w:pPr>
      <w:r>
        <w:t>Mai U., Sayyari E., Mirarab S. (2017). "Minimum Variance Rooting of Phylogenetic Trees and Implications for Species Tree Reconstruction". PLoS ONE. 12(8), e0182238.</w:t>
      </w:r>
    </w:p>
    <w:p>
      <w:pPr>
        <w:pStyle w:val="ListBullet"/>
        <w:numPr>
          <w:ilvl w:val="0"/>
          <w:numId w:val="13"/>
        </w:numPr>
      </w:pPr>
      <w:r>
        <w:t>Moshiri N. (2018). "TreeN93: a non-parametric distance-based method for inferring viral transmission clusters". bioRxiv.</w:t>
      </w:r>
    </w:p>
    <w:p>
      <w:pPr>
        <w:pStyle w:val="ListBullet"/>
        <w:numPr>
          <w:ilvl w:val="0"/>
          <w:numId w:val="14"/>
        </w:numPr>
      </w:pPr>
      <w:r>
        <w:t>Moshiri N. (2020). "TreeSwift: a massively scalable Python tree package". SoftwareX. In press.</w:t>
      </w:r>
    </w:p>
    <w:p>
      <w:pPr>
        <w:pStyle w:val="ListBullet"/>
        <w:numPr>
          <w:ilvl w:val="0"/>
          <w:numId w:val="15"/>
        </w:numPr>
      </w:pPr>
      <w:r>
        <w:t>Moshiri N. (2020). "ViReport" (https://github.com/niemasd/ViReport).</w:t>
      </w:r>
    </w:p>
    <w:p>
      <w:pPr>
        <w:pStyle w:val="ListBullet"/>
        <w:numPr>
          <w:ilvl w:val="0"/>
          <w:numId w:val="16"/>
        </w:numPr>
      </w:pPr>
      <w:r>
        <w:t>Pond S.L.K., Weaver S., Leigh Brown A.J., Wertheim J.O. (2018). "HIV-TRACE (TRAnsmission Cluster Engine): a Tool for Large Scale Molecular Epidemiology of HIV-1 and Other Rapidly Evolving Pathogens". Molecular Biology and Evolution. 35(7), 1812-1819.</w:t>
      </w:r>
    </w:p>
    <w:p>
      <w:pPr>
        <w:pStyle w:val="ListBullet"/>
        <w:numPr>
          <w:ilvl w:val="0"/>
          <w:numId w:val="17"/>
        </w:numPr>
      </w:pPr>
      <w:r>
        <w:t>Price M.N., Dehal P.S., Arkin A.P. (2010). "FastTree 2 -- Approximately Maximum-Likelihood Trees for Large Alignments". PLoS ONE. 5(3), e9490.</w:t>
      </w:r>
    </w:p>
    <w:p>
      <w:pPr>
        <w:pStyle w:val="ListBullet"/>
        <w:numPr>
          <w:ilvl w:val="0"/>
          <w:numId w:val="18"/>
        </w:numPr>
      </w:pPr>
      <w:r>
        <w:t>Sagulenko P., Puller V., Neher R.A. (2018). "TreeTime: Maximum-likelihood phylodynamic analysis". Virus Evolution. 4(1), vex042.</w:t>
      </w:r>
    </w:p>
    <w:p>
      <w:pPr>
        <w:pStyle w:val="ListBullet"/>
        <w:numPr>
          <w:ilvl w:val="0"/>
          <w:numId w:val="19"/>
        </w:numPr>
      </w:pPr>
      <w:r>
        <w:t>Tavare S. (1986). ""Some Probabilistic and Statistical Problems in the Analysis of DNA Sequences". Lectures on Mathematics in the Life Sciences. 17, 57-86.</w:t>
      </w:r>
    </w:p>
    <w:p>
      <w:pPr>
        <w:pStyle w:val="ListBullet"/>
        <w:numPr>
          <w:ilvl w:val="0"/>
          <w:numId w:val="20"/>
        </w:numPr>
      </w:pPr>
      <w:r>
        <w:t>Volz E.M., Frost S.D.W. (2017). "Scalable relaxed clock phylogenetic dating". Virus Evolution. 3(2), vex025.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  <w:lvlOverride w:ilvl="0">
      <w:startOverride w:val="1"/>
    </w:lvlOverride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